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Security, Lockdown and Protective Preparedness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support secure site management and clear response to security-related incidents.</w:t>
      </w:r>
    </w:p>
    <w:p>
      <w:pPr>
        <w:pStyle w:val="Heading1"/>
      </w:pPr>
      <w:r>
        <w:t>Scope</w:t>
      </w:r>
    </w:p>
    <w:p>
      <w:r>
        <w:t>Site access, unknown adults, suspicious behaviour, lockdown, invacuation, and protective security arrangements.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 and staff should know how site access is controlled and how to respond to a security threat.</w:t>
      </w:r>
    </w:p>
    <w:p>
      <w:pPr>
        <w:pStyle w:val="ListBullet"/>
        <w:spacing w:after="40"/>
      </w:pPr>
      <w:r>
        <w:t>Visitors and contractors must be identifiable and supervised as appropriate.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visitor controls, challenge unknown adults politely, and monitor site access points.</w:t>
      </w:r>
    </w:p>
    <w:p>
      <w:pPr>
        <w:pStyle w:val="ListBullet"/>
        <w:spacing w:after="40"/>
      </w:pPr>
      <w:r>
        <w:t>Maintain lockdown and invacuation procedures and practice them where appropriate.</w:t>
      </w:r>
    </w:p>
    <w:p>
      <w:pPr>
        <w:pStyle w:val="ListBullet"/>
        <w:spacing w:after="40"/>
      </w:pPr>
      <w:r>
        <w:t>Set out response to suspicious packages, threats, or concerns about hostile behaviour.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On instruction, staff move children to designated safe areas, secure doors where possible, keep the group calm, and await further instruction from the site lead or emergency services.</w:t>
      </w:r>
    </w:p>
    <w:p>
      <w:pPr>
        <w:pStyle w:val="ListBullet"/>
        <w:spacing w:after="40"/>
      </w:pPr>
      <w:r>
        <w:t>All incidents are recorded and reviewed.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Security, Lockdown and Protective Preparedness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